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3B5" w:rsidRPr="009B1BA3" w:rsidRDefault="00D5676E" w:rsidP="009B1BA3">
      <w:pPr>
        <w:pBdr>
          <w:bottom w:val="single" w:sz="6" w:space="0" w:color="99BEA4"/>
        </w:pBdr>
        <w:spacing w:after="300" w:line="27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70AD47" w:themeColor="accent6"/>
          <w:kern w:val="36"/>
          <w:sz w:val="20"/>
          <w:szCs w:val="20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t-BR"/>
        </w:rPr>
        <w:t>INSTRUÇÕES SOBRE O PROCEDIMENTO DE INSCRIÇÃO DE DÉBITOS DE AINF</w:t>
      </w:r>
      <w:r w:rsidR="009B1BA3" w:rsidRPr="009B1BA3">
        <w:rPr>
          <w:rFonts w:ascii="Arial" w:eastAsia="Times New Roman" w:hAnsi="Arial" w:cs="Arial"/>
          <w:vanish/>
          <w:sz w:val="20"/>
          <w:szCs w:val="20"/>
          <w:lang w:eastAsia="pt-BR"/>
        </w:rPr>
        <w:t>Instruções sobre o Procedimento de Inscrição de Débitos de AINF em Dívida Ativa</w:t>
      </w:r>
    </w:p>
    <w:p w:rsidR="00851474" w:rsidRDefault="00B5267C" w:rsidP="006B7EAC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O presente </w:t>
      </w:r>
      <w:r w:rsid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documento 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foi elaborado com a finalidade de </w:t>
      </w:r>
      <w:r w:rsid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detalha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r</w:t>
      </w:r>
      <w:r w:rsid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as</w:t>
      </w:r>
      <w:r w:rsidR="00851474" w:rsidRPr="00D5676E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instruções para a inscrição </w:t>
      </w:r>
      <w:r w:rsidR="0085147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em dívida ativa </w:t>
      </w:r>
      <w:r w:rsidR="00851474" w:rsidRPr="00D5676E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de </w:t>
      </w:r>
      <w:r w:rsidR="0085147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débitos de Simples Nacional constituídos por meio de </w:t>
      </w:r>
      <w:proofErr w:type="spellStart"/>
      <w:r w:rsidR="0085147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</w:t>
      </w:r>
      <w:r w:rsid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s</w:t>
      </w:r>
      <w:proofErr w:type="spellEnd"/>
      <w:r w:rsidR="0085147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relativos aos:</w:t>
      </w:r>
    </w:p>
    <w:p w:rsidR="00851474" w:rsidRPr="00A4190A" w:rsidRDefault="00851474" w:rsidP="00851474">
      <w:pPr>
        <w:shd w:val="clear" w:color="auto" w:fill="FDFDFB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lang w:eastAsia="pt-BR"/>
        </w:rPr>
        <w:tab/>
      </w:r>
      <w:r w:rsidRPr="00A419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- Arquivos gerados de </w:t>
      </w:r>
      <w:proofErr w:type="spellStart"/>
      <w:r w:rsidRPr="00A419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 w:rsidRPr="00A419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lavrados pela RFB</w:t>
      </w:r>
      <w:r w:rsid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até 30/04/2014</w:t>
      </w:r>
      <w:r w:rsidRPr="00A419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;</w:t>
      </w:r>
    </w:p>
    <w:p w:rsidR="00851474" w:rsidRPr="00A4190A" w:rsidRDefault="00851474" w:rsidP="00851474">
      <w:pPr>
        <w:shd w:val="clear" w:color="auto" w:fill="FDFDFB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 w:rsidRPr="00A419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ab/>
        <w:t xml:space="preserve">- Arquivos gerados de </w:t>
      </w:r>
      <w:proofErr w:type="spellStart"/>
      <w:r w:rsidRPr="00A419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 w:rsidRPr="00A419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lavrados pelos Estados, Distrito Federal e Municípios</w:t>
      </w:r>
      <w:r w:rsidR="00EE40E5" w:rsidRP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  <w:r w:rsid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até 30/04/2014</w:t>
      </w:r>
    </w:p>
    <w:p w:rsidR="00851474" w:rsidRDefault="00851474" w:rsidP="006B7EAC">
      <w:pPr>
        <w:shd w:val="clear" w:color="auto" w:fill="FDFDFB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 w:rsidRPr="00A419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ab/>
        <w:t xml:space="preserve">- 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Demais </w:t>
      </w:r>
      <w:proofErr w:type="spellStart"/>
      <w:r w:rsid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 w:rsid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lavrados </w:t>
      </w:r>
      <w:r w:rsidR="00EE40E5" w:rsidRPr="00A419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pelos Estados, Distrito Federal e Municípios</w:t>
      </w:r>
      <w:r w:rsid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</w:p>
    <w:p w:rsidR="000056EB" w:rsidRDefault="00EE40E5" w:rsidP="006B7EAC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As eventuais </w:t>
      </w:r>
      <w:r w:rsidR="000056EB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dúvidas </w:t>
      </w:r>
      <w:r w:rsidR="000056EB" w:rsidRPr="000056EB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relativas aos proc</w:t>
      </w:r>
      <w:r w:rsidR="000056EB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edimentos de envio dos processos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devem ser</w:t>
      </w:r>
      <w:r w:rsidR="000056EB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encaminhadas</w:t>
      </w:r>
      <w:r w:rsidR="000056EB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para:</w:t>
      </w:r>
    </w:p>
    <w:p w:rsidR="000056EB" w:rsidRDefault="0048349A" w:rsidP="000056EB">
      <w:pPr>
        <w:shd w:val="clear" w:color="auto" w:fill="FDFDFB"/>
        <w:spacing w:after="0" w:line="270" w:lineRule="atLeast"/>
        <w:jc w:val="center"/>
        <w:textAlignment w:val="baseline"/>
        <w:rPr>
          <w:rStyle w:val="Hyperlink"/>
          <w:rFonts w:ascii="Arial" w:eastAsia="Times New Roman" w:hAnsi="Arial" w:cs="Arial"/>
          <w:b/>
          <w:sz w:val="20"/>
          <w:szCs w:val="20"/>
          <w:lang w:eastAsia="pt-BR"/>
        </w:rPr>
      </w:pPr>
      <w:hyperlink r:id="rId6" w:history="1">
        <w:r w:rsidR="000D4596" w:rsidRPr="00C93257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ainf.oc@rfb.gov.br</w:t>
        </w:r>
      </w:hyperlink>
    </w:p>
    <w:p w:rsidR="000056EB" w:rsidRDefault="000056EB" w:rsidP="000056EB">
      <w:pPr>
        <w:shd w:val="clear" w:color="auto" w:fill="FDFDFB"/>
        <w:spacing w:after="0" w:line="270" w:lineRule="atLeast"/>
        <w:jc w:val="center"/>
        <w:textAlignment w:val="baseline"/>
        <w:rPr>
          <w:rStyle w:val="Hyperlink"/>
          <w:rFonts w:ascii="Arial" w:eastAsia="Times New Roman" w:hAnsi="Arial" w:cs="Arial"/>
          <w:b/>
          <w:sz w:val="20"/>
          <w:szCs w:val="20"/>
          <w:lang w:eastAsia="pt-BR"/>
        </w:rPr>
      </w:pPr>
    </w:p>
    <w:p w:rsidR="006B7EAC" w:rsidRDefault="006B7EAC" w:rsidP="000056EB">
      <w:pPr>
        <w:shd w:val="clear" w:color="auto" w:fill="FDFDFB"/>
        <w:spacing w:after="0" w:line="270" w:lineRule="atLeast"/>
        <w:jc w:val="center"/>
        <w:textAlignment w:val="baseline"/>
        <w:rPr>
          <w:rStyle w:val="Hyperlink"/>
          <w:rFonts w:ascii="Arial" w:eastAsia="Times New Roman" w:hAnsi="Arial" w:cs="Arial"/>
          <w:b/>
          <w:sz w:val="20"/>
          <w:szCs w:val="20"/>
          <w:lang w:eastAsia="pt-BR"/>
        </w:rPr>
      </w:pPr>
    </w:p>
    <w:p w:rsidR="009B1BA3" w:rsidRPr="00BB4FFD" w:rsidRDefault="009B1BA3" w:rsidP="00BB4FFD">
      <w:pPr>
        <w:pStyle w:val="PargrafodaLista"/>
        <w:numPr>
          <w:ilvl w:val="0"/>
          <w:numId w:val="1"/>
        </w:numPr>
        <w:shd w:val="clear" w:color="auto" w:fill="FDFDFB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 w:rsidRPr="00BB4FFD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>ARQUIVOS GERADOS</w:t>
      </w:r>
      <w:r w:rsidR="00A4190A" w:rsidRPr="00BB4FFD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 xml:space="preserve"> </w:t>
      </w:r>
      <w:r w:rsidR="00C02D24" w:rsidRPr="00BB4FFD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 xml:space="preserve">referentes aos </w:t>
      </w:r>
      <w:proofErr w:type="spellStart"/>
      <w:r w:rsidR="00C02D24" w:rsidRPr="00BB4FFD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>AINFs</w:t>
      </w:r>
      <w:proofErr w:type="spellEnd"/>
      <w:r w:rsidR="00C02D24" w:rsidRPr="00BB4FFD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 xml:space="preserve"> lavrados pela RFB</w:t>
      </w:r>
      <w:r w:rsidR="00EE40E5" w:rsidRPr="00EE40E5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 xml:space="preserve"> até 30/04/2014</w:t>
      </w:r>
      <w:r w:rsidR="009D2E8D" w:rsidRPr="00BB4FF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:</w:t>
      </w:r>
    </w:p>
    <w:p w:rsidR="0015595A" w:rsidRDefault="0015595A" w:rsidP="006B7EAC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A lista de débitos de ICMS/ISS </w:t>
      </w:r>
      <w:r w:rsidR="005E1FE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constituídos por meio de </w:t>
      </w:r>
      <w:proofErr w:type="spellStart"/>
      <w:r w:rsidR="005E1FE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 w:rsidR="005E1FE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lavrados pela RFB 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encontra-se disponibilizad</w:t>
      </w:r>
      <w:r w:rsidR="00B70877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 no documento “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Lista Anexa </w:t>
      </w:r>
      <w:r w:rsidR="009A1A16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I</w:t>
      </w:r>
      <w:r w:rsidR="00B70877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: </w:t>
      </w:r>
      <w:proofErr w:type="spellStart"/>
      <w:r w:rsidR="00B70877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 w:rsidR="00B70877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lavrados pela RFB”</w:t>
      </w:r>
      <w:r w:rsidR="009A1A16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.</w:t>
      </w:r>
    </w:p>
    <w:p w:rsidR="009B1BA3" w:rsidRDefault="00D10846" w:rsidP="006B7EAC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Os Entes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com convênio integral ativo co</w:t>
      </w:r>
      <w:r w:rsidR="00BB641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m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a PGFN e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com débitos de ICMS/ISS listados deverão baixar os arquivos para inscrição em dívida ativa, não sendo necessário nenhum procedimento adicional junto ao SN.</w:t>
      </w:r>
    </w:p>
    <w:p w:rsidR="00D10846" w:rsidRDefault="00D10846" w:rsidP="006B7EAC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Solicitação de cópia dos Processos dos </w:t>
      </w:r>
      <w:proofErr w:type="spellStart"/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lavrados pela RFB,</w:t>
      </w:r>
      <w:r w:rsidR="002727AB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da Lista Anexa I,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  <w:r w:rsidR="002727AB" w:rsidRPr="00D5676E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quando necessári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</w:t>
      </w:r>
      <w:r w:rsidR="002727AB" w:rsidRPr="00D5676E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para a cobrança dos tributos de competência dos Entes Convenentes, 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deverão ser encaminhados para:</w:t>
      </w:r>
    </w:p>
    <w:p w:rsidR="00D10846" w:rsidRDefault="0048349A" w:rsidP="00D10846">
      <w:pPr>
        <w:shd w:val="clear" w:color="auto" w:fill="FDFDFB"/>
        <w:spacing w:after="0" w:line="270" w:lineRule="atLeast"/>
        <w:jc w:val="center"/>
        <w:textAlignment w:val="baseline"/>
        <w:rPr>
          <w:rStyle w:val="Hyperlink"/>
          <w:rFonts w:ascii="Arial" w:eastAsia="Times New Roman" w:hAnsi="Arial" w:cs="Arial"/>
          <w:b/>
          <w:sz w:val="20"/>
          <w:szCs w:val="20"/>
          <w:lang w:eastAsia="pt-BR"/>
        </w:rPr>
      </w:pPr>
      <w:hyperlink r:id="rId7" w:history="1">
        <w:r w:rsidR="000D4596" w:rsidRPr="00C93257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ainf.oc@rfb.gov.br</w:t>
        </w:r>
      </w:hyperlink>
    </w:p>
    <w:p w:rsidR="009A1A16" w:rsidRDefault="009A1A16" w:rsidP="00D10846">
      <w:pPr>
        <w:shd w:val="clear" w:color="auto" w:fill="FDFDFB"/>
        <w:spacing w:after="0" w:line="270" w:lineRule="atLeast"/>
        <w:jc w:val="center"/>
        <w:textAlignment w:val="baseline"/>
        <w:rPr>
          <w:rStyle w:val="Hyperlink"/>
          <w:rFonts w:ascii="Arial" w:eastAsia="Times New Roman" w:hAnsi="Arial" w:cs="Arial"/>
          <w:b/>
          <w:sz w:val="20"/>
          <w:szCs w:val="20"/>
          <w:lang w:eastAsia="pt-BR"/>
        </w:rPr>
      </w:pPr>
    </w:p>
    <w:p w:rsidR="009A1A16" w:rsidRDefault="009A1A16" w:rsidP="009A1A16">
      <w:pPr>
        <w:shd w:val="clear" w:color="auto" w:fill="FDFDFB"/>
        <w:spacing w:after="0" w:line="270" w:lineRule="atLeast"/>
        <w:jc w:val="both"/>
        <w:textAlignment w:val="baseline"/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</w:pPr>
    </w:p>
    <w:p w:rsidR="009A1A16" w:rsidRDefault="009A1A16" w:rsidP="00BB4FFD">
      <w:pPr>
        <w:pStyle w:val="PargrafodaLista"/>
        <w:numPr>
          <w:ilvl w:val="0"/>
          <w:numId w:val="1"/>
        </w:numPr>
        <w:shd w:val="clear" w:color="auto" w:fill="FDFDFB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 w:rsidRPr="00C02D24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 xml:space="preserve">ARQUIVOS GERADOS referentes aos </w:t>
      </w:r>
      <w:proofErr w:type="spellStart"/>
      <w:r w:rsidRPr="00C02D24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>AINFs</w:t>
      </w:r>
      <w:proofErr w:type="spellEnd"/>
      <w:r w:rsidRPr="00C02D24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 xml:space="preserve"> lavrados </w:t>
      </w:r>
      <w:r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>pelos Estados, Distrito Federal e Municípios</w:t>
      </w:r>
      <w:r w:rsidR="00EE40E5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 xml:space="preserve"> </w:t>
      </w:r>
      <w:r w:rsidR="00EE40E5" w:rsidRPr="00EE40E5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>até 30/04/2014</w:t>
      </w:r>
      <w:r w:rsidRPr="00D5676E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:</w:t>
      </w:r>
    </w:p>
    <w:p w:rsidR="009A1A16" w:rsidRDefault="009A1A16" w:rsidP="006B7EAC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A lista de débitos de ICMS/ISS constituídos por meio de </w:t>
      </w:r>
      <w:proofErr w:type="spellStart"/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lavrados pelos Estados, Distrito Federal e Municípios encontra-se disponibilizad</w:t>
      </w:r>
      <w:r w:rsidR="000F3EA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 no documento “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Lista Anexa II</w:t>
      </w:r>
      <w:r w:rsidR="000F3EA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: </w:t>
      </w:r>
      <w:proofErr w:type="spellStart"/>
      <w:r w:rsidR="000F3EA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 w:rsidR="000F3EA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lavrados pelos Estados/DF e Municípios”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.</w:t>
      </w:r>
    </w:p>
    <w:p w:rsidR="00BE1070" w:rsidRDefault="009A1A16" w:rsidP="003565A9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Considerando que </w:t>
      </w:r>
      <w:r w:rsidR="003C769F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o encaminhamento para a PGFN de</w:t>
      </w:r>
      <w:r w:rsidRPr="00D5676E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débitos </w:t>
      </w:r>
      <w:r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de </w:t>
      </w:r>
      <w:proofErr w:type="spellStart"/>
      <w:r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, gerados por Estados/DF e Municípios, </w:t>
      </w:r>
      <w:r w:rsidR="003C769F"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para fins de inscrição na dívida ativa da União é obrigatoriamente acompanhada de cópia </w:t>
      </w:r>
      <w:r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do processo do AINF</w:t>
      </w:r>
      <w:r w:rsidR="003C769F"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, é necessário que o</w:t>
      </w:r>
      <w:r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ente respo</w:t>
      </w:r>
      <w:r w:rsidR="003565A9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nsável pela sua lavratura </w:t>
      </w:r>
      <w:r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verifi</w:t>
      </w:r>
      <w:r w:rsidR="003C769F"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que</w:t>
      </w:r>
      <w:r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os </w:t>
      </w:r>
      <w:proofErr w:type="spellStart"/>
      <w:r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de sua responsabilidade (lista anexa </w:t>
      </w:r>
      <w:r w:rsidR="003C769F"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II</w:t>
      </w:r>
      <w:r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)</w:t>
      </w:r>
      <w:r w:rsidR="003565A9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e </w:t>
      </w:r>
      <w:r w:rsidR="00422A4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execute todos</w:t>
      </w:r>
      <w:r w:rsidR="003565A9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os passos contidos no item 3 deste documento.</w:t>
      </w:r>
    </w:p>
    <w:p w:rsidR="00132685" w:rsidRDefault="00132685" w:rsidP="006B7EAC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</w:p>
    <w:p w:rsidR="00BB4FFD" w:rsidRDefault="00132685" w:rsidP="00BB4FFD">
      <w:pPr>
        <w:pStyle w:val="PargrafodaLista"/>
        <w:numPr>
          <w:ilvl w:val="0"/>
          <w:numId w:val="1"/>
        </w:numPr>
        <w:shd w:val="clear" w:color="auto" w:fill="FDFDFB"/>
        <w:spacing w:after="120" w:line="270" w:lineRule="atLeast"/>
        <w:jc w:val="both"/>
        <w:textAlignment w:val="baseline"/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</w:pPr>
      <w:r w:rsidRPr="00BB4FFD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>D</w:t>
      </w:r>
      <w:r w:rsidR="00BB4FFD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 xml:space="preserve">EMAIS </w:t>
      </w:r>
      <w:proofErr w:type="spellStart"/>
      <w:r w:rsidR="00BB4FFD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>AINF</w:t>
      </w:r>
      <w:r w:rsidR="00EE40E5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>s</w:t>
      </w:r>
      <w:proofErr w:type="spellEnd"/>
      <w:r w:rsidR="00BB4FFD">
        <w:rPr>
          <w:rFonts w:ascii="Arial" w:eastAsia="Times New Roman" w:hAnsi="Arial" w:cs="Arial"/>
          <w:b/>
          <w:color w:val="727272"/>
          <w:sz w:val="20"/>
          <w:szCs w:val="20"/>
          <w:u w:val="single"/>
          <w:lang w:eastAsia="pt-BR"/>
        </w:rPr>
        <w:t xml:space="preserve"> LAVRADOS PELOS ESTADOS, DISTRITO FEDERAL E MUNICÍPIOS</w:t>
      </w:r>
    </w:p>
    <w:p w:rsidR="00132685" w:rsidRDefault="00FF6723" w:rsidP="006B7EAC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T</w:t>
      </w:r>
      <w:r w:rsidR="00BB4FF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odos os </w:t>
      </w:r>
      <w:proofErr w:type="spellStart"/>
      <w:r w:rsidR="00BB4FF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 w:rsidR="00BB4FF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cujos </w:t>
      </w:r>
      <w:proofErr w:type="spellStart"/>
      <w:r w:rsidR="00BB4FF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CTs</w:t>
      </w:r>
      <w:proofErr w:type="spellEnd"/>
      <w:r w:rsidR="00BB4FF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encontram-se definitivamente constituídos na esfera administrativa do respectivo </w:t>
      </w:r>
      <w:r w:rsid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Ente </w:t>
      </w:r>
      <w:r w:rsidR="00BB4FF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Responsável, ou seja, que não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estejam sujeitos a</w:t>
      </w:r>
      <w:r w:rsidR="00BB4FF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  <w:r w:rsidR="00C4542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nenhum ato processual que implique </w:t>
      </w:r>
      <w:r w:rsidR="00EE40E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em </w:t>
      </w:r>
      <w:r w:rsidR="00C4542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alteração de seus valores</w:t>
      </w:r>
      <w:r w:rsidR="003D307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,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  <w:r w:rsidRPr="00BB641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devem ser encaminhados para inscrição em dívida ativa de acordo com</w:t>
      </w:r>
      <w:r w:rsidR="003D307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as instruções seguintes:</w:t>
      </w:r>
    </w:p>
    <w:p w:rsidR="00C4542D" w:rsidRDefault="003D307D" w:rsidP="006B7EAC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 w:rsidRPr="005C1D8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3.1. Verificar se a situação dos </w:t>
      </w:r>
      <w:proofErr w:type="spellStart"/>
      <w:r w:rsidRPr="005C1D8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CTs</w:t>
      </w:r>
      <w:proofErr w:type="spellEnd"/>
      <w:r w:rsidRPr="005C1D8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no aplicativo </w:t>
      </w:r>
      <w:proofErr w:type="spellStart"/>
      <w:r w:rsidRPr="005C1D8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Sefisc</w:t>
      </w:r>
      <w:proofErr w:type="spellEnd"/>
      <w:r w:rsidRPr="005C1D8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- Contencioso está de acordo com a situação real do processo</w:t>
      </w:r>
      <w:r w:rsidR="00422A4A" w:rsidRPr="005C1D8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. Para isso, acesse as telas de consulta e confira o saldo remanescente, bem como a situação do </w:t>
      </w:r>
      <w:proofErr w:type="spellStart"/>
      <w:r w:rsidR="00422A4A" w:rsidRPr="005C1D8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CTs</w:t>
      </w:r>
      <w:proofErr w:type="spellEnd"/>
      <w:r w:rsidR="00422A4A" w:rsidRPr="005C1D8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na situação “Devedor”, não incluídos em parcelamentos ativos, ou seja, disponíveis para inscrição em dívida ativa. Quaisquer dúvidas sobre a utilização das telas de consulta, vide o Manual do Contencioso AINF, disponível na página inicial do Portal do Simples Nacional – Entes Federados. </w:t>
      </w:r>
      <w:r w:rsidRPr="005C1D8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Caso </w:t>
      </w:r>
      <w:r w:rsidR="00422A4A" w:rsidRPr="005C1D8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os débitos no aplicativo Contencioso não estejam condizentes com a sua situação real</w:t>
      </w:r>
      <w:r w:rsidRPr="005C1D8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, o p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rocesso </w:t>
      </w:r>
      <w:r w:rsidR="00C4542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deve ser saneado conforme disposto na </w:t>
      </w:r>
      <w:r w:rsidR="00C4542D" w:rsidRPr="00C4542D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Portaria CGSN/SE nº 65/2018 (Comunicado CGSN/SE nº 19/2018).</w:t>
      </w:r>
    </w:p>
    <w:p w:rsidR="008E2037" w:rsidRPr="006C73E1" w:rsidRDefault="003D307D" w:rsidP="00772DBB">
      <w:pPr>
        <w:shd w:val="clear" w:color="auto" w:fill="FDFDFB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lastRenderedPageBreak/>
        <w:t>3.2. D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igitalize o processo, incluindo as pa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rtes do contencioso, se houver</w:t>
      </w:r>
      <w:r w:rsidR="00650C39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.</w:t>
      </w:r>
      <w:r w:rsidR="008E2037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  <w:r w:rsidR="00650C39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Considerando a limitação </w:t>
      </w:r>
      <w:r w:rsidR="008E2037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de </w:t>
      </w:r>
      <w:r w:rsidR="00B25E04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15</w:t>
      </w:r>
      <w:r w:rsidR="008E2037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Mega</w:t>
      </w:r>
      <w:r w:rsidR="00B25E04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bytes</w:t>
      </w:r>
      <w:r w:rsidR="008E2037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por arquivo</w:t>
      </w:r>
      <w:r w:rsidR="00B25E04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PDF, ou 150 Megabytes de arquivos ZIP ou RAR;</w:t>
      </w:r>
      <w:r w:rsidR="00650C39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em caso de necessidade</w:t>
      </w:r>
      <w:r w:rsidR="00317630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,</w:t>
      </w:r>
      <w:r w:rsidR="00650C39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o processo original </w:t>
      </w:r>
      <w:r w:rsidR="00B25E04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deve ser divido </w:t>
      </w:r>
      <w:r w:rsidR="00650C39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em tantos arquivos quantos forem necessários</w:t>
      </w:r>
      <w:r w:rsidR="00772DBB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, identificando-os pelo número do processo </w:t>
      </w:r>
      <w:r w:rsidR="00CC3E0A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(</w:t>
      </w:r>
      <w:r w:rsidR="00772DBB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sem </w:t>
      </w:r>
      <w:r w:rsidR="00CC3E0A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formatação) seguido de</w:t>
      </w:r>
      <w:r w:rsidR="00772DBB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sequência numérica, conforme exemplo abaixo:</w:t>
      </w:r>
    </w:p>
    <w:p w:rsidR="00772DBB" w:rsidRPr="006C73E1" w:rsidRDefault="00772DBB" w:rsidP="00772DBB">
      <w:pPr>
        <w:pStyle w:val="Normal1"/>
        <w:rPr>
          <w:rFonts w:ascii="Arial" w:hAnsi="Arial" w:cs="Arial"/>
          <w:color w:val="727272"/>
          <w:sz w:val="20"/>
          <w:lang w:eastAsia="pt-BR"/>
        </w:rPr>
      </w:pPr>
      <w:r w:rsidRPr="006C73E1">
        <w:rPr>
          <w:rFonts w:ascii="Arial" w:hAnsi="Arial" w:cs="Arial"/>
          <w:color w:val="727272"/>
          <w:sz w:val="20"/>
          <w:lang w:eastAsia="pt-BR"/>
        </w:rPr>
        <w:tab/>
      </w:r>
      <w:r w:rsidRPr="006C73E1">
        <w:rPr>
          <w:rFonts w:ascii="Arial" w:hAnsi="Arial" w:cs="Arial"/>
          <w:color w:val="727272"/>
          <w:sz w:val="20"/>
          <w:lang w:eastAsia="pt-BR"/>
        </w:rPr>
        <w:tab/>
        <w:t>&lt; yyyyyyyyyyyyyyyyy.01&gt;</w:t>
      </w:r>
    </w:p>
    <w:p w:rsidR="00772DBB" w:rsidRPr="00772DBB" w:rsidRDefault="00772DBB" w:rsidP="00772DBB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hAnsi="Arial" w:cs="Arial"/>
          <w:color w:val="727272"/>
          <w:sz w:val="20"/>
          <w:lang w:eastAsia="pt-BR"/>
        </w:rPr>
      </w:pPr>
      <w:r w:rsidRPr="006C73E1">
        <w:rPr>
          <w:rFonts w:ascii="Arial" w:hAnsi="Arial" w:cs="Arial"/>
          <w:color w:val="727272"/>
          <w:sz w:val="20"/>
          <w:lang w:eastAsia="pt-BR"/>
        </w:rPr>
        <w:tab/>
        <w:t xml:space="preserve">&lt; </w:t>
      </w:r>
      <w:r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yyyyyyyyyyyyyyyyy</w:t>
      </w:r>
      <w:r w:rsidRPr="006C73E1">
        <w:rPr>
          <w:rFonts w:ascii="Arial" w:hAnsi="Arial" w:cs="Arial"/>
          <w:color w:val="727272"/>
          <w:sz w:val="20"/>
          <w:lang w:eastAsia="pt-BR"/>
        </w:rPr>
        <w:t>.02&gt;</w:t>
      </w:r>
    </w:p>
    <w:p w:rsidR="00800F14" w:rsidRDefault="003D307D" w:rsidP="00800F14">
      <w:pPr>
        <w:shd w:val="clear" w:color="auto" w:fill="FDFDFB"/>
        <w:spacing w:after="120" w:line="270" w:lineRule="atLeast"/>
        <w:ind w:firstLine="708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3.</w:t>
      </w:r>
      <w:r w:rsidR="003F1EFF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3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.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P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rint a 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tela de Consulta Processo\Geral,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conforme exemplo abaixo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, e cole no local indicado do TERPA (Termo de Encaminhamento para Recebimento de Processo de AINF)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:</w:t>
      </w:r>
    </w:p>
    <w:p w:rsidR="00800F14" w:rsidRDefault="00800F14" w:rsidP="00800F14">
      <w:pPr>
        <w:shd w:val="clear" w:color="auto" w:fill="FDFDFB"/>
        <w:spacing w:after="120" w:line="270" w:lineRule="atLeast"/>
        <w:ind w:firstLine="851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noProof/>
          <w:sz w:val="20"/>
          <w:lang w:eastAsia="pt-BR"/>
        </w:rPr>
        <w:drawing>
          <wp:inline distT="0" distB="0" distL="0" distR="0" wp14:anchorId="01CBA404" wp14:editId="7C5FDF21">
            <wp:extent cx="5398770" cy="1248410"/>
            <wp:effectExtent l="19050" t="19050" r="11430" b="279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24841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800F14" w:rsidRDefault="003F1EFF" w:rsidP="00800F14">
      <w:pPr>
        <w:shd w:val="clear" w:color="auto" w:fill="FDFDFB"/>
        <w:spacing w:after="120" w:line="270" w:lineRule="atLeast"/>
        <w:ind w:firstLine="708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3.4</w:t>
      </w:r>
      <w:r w:rsidR="000D52D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.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  <w:r w:rsidR="000D52D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P</w:t>
      </w:r>
      <w:r w:rsidR="00800F14"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rovidencie o 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preenchimento </w:t>
      </w:r>
      <w:r w:rsidR="000D52D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d</w:t>
      </w:r>
      <w:r w:rsidR="00800F14"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o 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TERPA</w:t>
      </w:r>
      <w:r w:rsidR="00202ACE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, </w:t>
      </w:r>
      <w:r w:rsidR="000D52D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somente a parte de “Termo de Encaminhamento”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,</w:t>
      </w:r>
      <w:r w:rsidR="000D52D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  <w:r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observe que </w:t>
      </w:r>
      <w:r w:rsidR="00202ACE"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cada processo deve ser acompanhado de um TERPA.</w:t>
      </w:r>
      <w:r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  <w:r w:rsidR="00317630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s TERPA devem ser assinados digitalmente utilizando as ferramentas disponíveis no editor de texto utilizado (Word ou Libre Office).</w:t>
      </w:r>
    </w:p>
    <w:p w:rsidR="00800F14" w:rsidRPr="004C4935" w:rsidRDefault="003F1EFF" w:rsidP="00800F14">
      <w:pPr>
        <w:shd w:val="clear" w:color="auto" w:fill="FDFDFB"/>
        <w:spacing w:after="120" w:line="270" w:lineRule="atLeast"/>
        <w:ind w:firstLine="708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3.5</w:t>
      </w:r>
      <w:r w:rsidR="000D52D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.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  <w:r w:rsidR="000D52D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E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ncaminh</w:t>
      </w:r>
      <w:r w:rsidR="00800F14"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e 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o arquivo digitalizado juntamente com o TERPA </w:t>
      </w:r>
      <w:r w:rsidR="00800F14"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para 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a caixa corporativa </w:t>
      </w:r>
      <w:r w:rsidR="00800F14"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da Região Fiscal </w:t>
      </w:r>
      <w:r w:rsidR="00800F14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de sua jurisdição</w:t>
      </w:r>
      <w:r w:rsidR="00800F14" w:rsidRPr="004C4935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30"/>
        <w:gridCol w:w="4258"/>
      </w:tblGrid>
      <w:tr w:rsidR="00800F14" w:rsidTr="006876BB">
        <w:tc>
          <w:tcPr>
            <w:tcW w:w="1559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Região Fiscal</w:t>
            </w:r>
          </w:p>
        </w:tc>
        <w:tc>
          <w:tcPr>
            <w:tcW w:w="2830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4258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Endereço da Caixa Corporativa</w:t>
            </w:r>
          </w:p>
        </w:tc>
      </w:tr>
      <w:tr w:rsidR="00800F14" w:rsidRPr="00FD7DFC" w:rsidTr="006876BB">
        <w:tc>
          <w:tcPr>
            <w:tcW w:w="1559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1ª</w:t>
            </w:r>
          </w:p>
        </w:tc>
        <w:tc>
          <w:tcPr>
            <w:tcW w:w="2830" w:type="dxa"/>
          </w:tcPr>
          <w:p w:rsidR="00800F14" w:rsidRPr="003A6341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val="en-US" w:eastAsia="pt-BR"/>
              </w:rPr>
            </w:pPr>
            <w:r w:rsidRPr="003A6341"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val="en-US" w:eastAsia="pt-BR"/>
              </w:rPr>
              <w:t>GO, MT, MS, TO e DF</w:t>
            </w:r>
          </w:p>
        </w:tc>
        <w:tc>
          <w:tcPr>
            <w:tcW w:w="4258" w:type="dxa"/>
          </w:tcPr>
          <w:p w:rsidR="00800F14" w:rsidRPr="000F224E" w:rsidRDefault="00800F14" w:rsidP="006876BB">
            <w:pPr>
              <w:jc w:val="center"/>
              <w:rPr>
                <w:lang w:val="en-US"/>
              </w:rPr>
            </w:pP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ainf.srrf01@</w:t>
            </w:r>
            <w:r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rfb</w:t>
            </w: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.gov.br</w:t>
            </w:r>
          </w:p>
        </w:tc>
      </w:tr>
      <w:tr w:rsidR="00800F14" w:rsidRPr="00FD7DFC" w:rsidTr="006876BB">
        <w:tc>
          <w:tcPr>
            <w:tcW w:w="1559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2ª</w:t>
            </w:r>
          </w:p>
        </w:tc>
        <w:tc>
          <w:tcPr>
            <w:tcW w:w="2830" w:type="dxa"/>
          </w:tcPr>
          <w:p w:rsidR="00800F14" w:rsidRPr="000F224E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val="en-US" w:eastAsia="pt-BR"/>
              </w:rPr>
              <w:t xml:space="preserve">AC, </w:t>
            </w:r>
            <w:r w:rsidRPr="000F224E"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val="en-US" w:eastAsia="pt-BR"/>
              </w:rPr>
              <w:t>AM, AP, PA, RR, RO</w:t>
            </w:r>
          </w:p>
        </w:tc>
        <w:tc>
          <w:tcPr>
            <w:tcW w:w="4258" w:type="dxa"/>
          </w:tcPr>
          <w:p w:rsidR="00800F14" w:rsidRPr="0055709A" w:rsidRDefault="00800F14" w:rsidP="006876BB">
            <w:pPr>
              <w:jc w:val="center"/>
              <w:rPr>
                <w:lang w:val="en-US"/>
              </w:rPr>
            </w:pPr>
            <w:r w:rsidRPr="00347111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ainf</w:t>
            </w:r>
            <w:r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.srrf02</w:t>
            </w:r>
            <w:r w:rsidRPr="00347111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  <w:t>@rfb.gov.br</w:t>
            </w:r>
          </w:p>
        </w:tc>
      </w:tr>
      <w:tr w:rsidR="00800F14" w:rsidTr="006876BB">
        <w:tc>
          <w:tcPr>
            <w:tcW w:w="1559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3ª</w:t>
            </w:r>
          </w:p>
        </w:tc>
        <w:tc>
          <w:tcPr>
            <w:tcW w:w="2830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CE, MA, PI</w:t>
            </w:r>
          </w:p>
        </w:tc>
        <w:tc>
          <w:tcPr>
            <w:tcW w:w="4258" w:type="dxa"/>
          </w:tcPr>
          <w:p w:rsidR="00800F14" w:rsidRDefault="00800F14" w:rsidP="006876BB">
            <w:pPr>
              <w:jc w:val="center"/>
            </w:pP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ainf.srrf0</w:t>
            </w:r>
            <w:r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</w:t>
            </w: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@rfb.gov.br</w:t>
            </w:r>
          </w:p>
        </w:tc>
      </w:tr>
      <w:tr w:rsidR="00800F14" w:rsidTr="006876BB">
        <w:tc>
          <w:tcPr>
            <w:tcW w:w="1559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4ª</w:t>
            </w:r>
          </w:p>
        </w:tc>
        <w:tc>
          <w:tcPr>
            <w:tcW w:w="2830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AL, PB, PE, RN</w:t>
            </w:r>
          </w:p>
        </w:tc>
        <w:tc>
          <w:tcPr>
            <w:tcW w:w="4258" w:type="dxa"/>
          </w:tcPr>
          <w:p w:rsidR="00800F14" w:rsidRDefault="00800F14" w:rsidP="006876BB">
            <w:pPr>
              <w:jc w:val="center"/>
            </w:pP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ainf.srrf0</w:t>
            </w:r>
            <w:r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</w:t>
            </w: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@rfb.gov.br</w:t>
            </w:r>
          </w:p>
        </w:tc>
      </w:tr>
      <w:tr w:rsidR="00800F14" w:rsidTr="006876BB">
        <w:tc>
          <w:tcPr>
            <w:tcW w:w="1559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5ª</w:t>
            </w:r>
          </w:p>
        </w:tc>
        <w:tc>
          <w:tcPr>
            <w:tcW w:w="2830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BA, SE</w:t>
            </w:r>
          </w:p>
        </w:tc>
        <w:tc>
          <w:tcPr>
            <w:tcW w:w="4258" w:type="dxa"/>
          </w:tcPr>
          <w:p w:rsidR="00800F14" w:rsidRDefault="00800F14" w:rsidP="006876BB">
            <w:pPr>
              <w:jc w:val="center"/>
            </w:pP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ainf.srrf0</w:t>
            </w:r>
            <w:r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</w:t>
            </w: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@rfb.gov.br</w:t>
            </w:r>
          </w:p>
        </w:tc>
      </w:tr>
      <w:tr w:rsidR="00800F14" w:rsidTr="006876BB">
        <w:tc>
          <w:tcPr>
            <w:tcW w:w="1559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6ª</w:t>
            </w:r>
          </w:p>
        </w:tc>
        <w:tc>
          <w:tcPr>
            <w:tcW w:w="2830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MG</w:t>
            </w:r>
          </w:p>
        </w:tc>
        <w:tc>
          <w:tcPr>
            <w:tcW w:w="4258" w:type="dxa"/>
          </w:tcPr>
          <w:p w:rsidR="00800F14" w:rsidRDefault="00800F14" w:rsidP="006876BB">
            <w:pPr>
              <w:jc w:val="center"/>
            </w:pP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ainf.srrf0</w:t>
            </w:r>
            <w:r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6</w:t>
            </w: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@rfb.gov.br</w:t>
            </w:r>
          </w:p>
        </w:tc>
      </w:tr>
      <w:tr w:rsidR="00800F14" w:rsidTr="006876BB">
        <w:tc>
          <w:tcPr>
            <w:tcW w:w="1559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7ª</w:t>
            </w:r>
          </w:p>
        </w:tc>
        <w:tc>
          <w:tcPr>
            <w:tcW w:w="2830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ES, RJ</w:t>
            </w:r>
          </w:p>
        </w:tc>
        <w:tc>
          <w:tcPr>
            <w:tcW w:w="4258" w:type="dxa"/>
          </w:tcPr>
          <w:p w:rsidR="00800F14" w:rsidRDefault="00800F14" w:rsidP="006876BB">
            <w:pPr>
              <w:jc w:val="center"/>
            </w:pP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ainf.srrf0</w:t>
            </w:r>
            <w:r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</w:t>
            </w: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@rfb.gov.br</w:t>
            </w:r>
          </w:p>
        </w:tc>
      </w:tr>
      <w:tr w:rsidR="00800F14" w:rsidTr="006876BB">
        <w:tc>
          <w:tcPr>
            <w:tcW w:w="1559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8ª</w:t>
            </w:r>
          </w:p>
        </w:tc>
        <w:tc>
          <w:tcPr>
            <w:tcW w:w="2830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SP</w:t>
            </w:r>
          </w:p>
        </w:tc>
        <w:tc>
          <w:tcPr>
            <w:tcW w:w="4258" w:type="dxa"/>
          </w:tcPr>
          <w:p w:rsidR="00800F14" w:rsidRDefault="00800F14" w:rsidP="006876BB">
            <w:pPr>
              <w:jc w:val="center"/>
            </w:pP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ainf.srrf0</w:t>
            </w:r>
            <w:r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8</w:t>
            </w: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@rfb.gov.br</w:t>
            </w:r>
          </w:p>
        </w:tc>
      </w:tr>
      <w:tr w:rsidR="00800F14" w:rsidTr="006876BB">
        <w:tc>
          <w:tcPr>
            <w:tcW w:w="1559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9ª</w:t>
            </w:r>
          </w:p>
        </w:tc>
        <w:tc>
          <w:tcPr>
            <w:tcW w:w="2830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PR, SC</w:t>
            </w:r>
          </w:p>
        </w:tc>
        <w:tc>
          <w:tcPr>
            <w:tcW w:w="4258" w:type="dxa"/>
          </w:tcPr>
          <w:p w:rsidR="00800F14" w:rsidRDefault="00800F14" w:rsidP="006876BB">
            <w:pPr>
              <w:jc w:val="center"/>
            </w:pP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ainf.srrf0</w:t>
            </w:r>
            <w:r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9</w:t>
            </w: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@rfb.gov.br</w:t>
            </w:r>
          </w:p>
        </w:tc>
      </w:tr>
      <w:tr w:rsidR="00800F14" w:rsidTr="006876BB">
        <w:tc>
          <w:tcPr>
            <w:tcW w:w="1559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10ª</w:t>
            </w:r>
          </w:p>
        </w:tc>
        <w:tc>
          <w:tcPr>
            <w:tcW w:w="2830" w:type="dxa"/>
          </w:tcPr>
          <w:p w:rsidR="00800F14" w:rsidRDefault="00800F14" w:rsidP="006876BB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727272"/>
                <w:sz w:val="20"/>
                <w:szCs w:val="20"/>
                <w:lang w:eastAsia="pt-BR"/>
              </w:rPr>
              <w:t>RS</w:t>
            </w:r>
          </w:p>
        </w:tc>
        <w:tc>
          <w:tcPr>
            <w:tcW w:w="4258" w:type="dxa"/>
          </w:tcPr>
          <w:p w:rsidR="00800F14" w:rsidRDefault="00800F14" w:rsidP="006876BB">
            <w:pPr>
              <w:jc w:val="center"/>
            </w:pP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ainf.srrf01</w:t>
            </w:r>
            <w:r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</w:t>
            </w:r>
            <w:r w:rsidRPr="0055709A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@rfb.gov.br</w:t>
            </w:r>
          </w:p>
        </w:tc>
      </w:tr>
    </w:tbl>
    <w:p w:rsidR="0037790D" w:rsidRDefault="0037790D" w:rsidP="0037790D">
      <w:pPr>
        <w:shd w:val="clear" w:color="auto" w:fill="FDFDFB"/>
        <w:spacing w:after="120" w:line="270" w:lineRule="atLeast"/>
        <w:ind w:firstLine="708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Observe-se que a caixa corporativa está limitada ao </w:t>
      </w:r>
      <w:r w:rsidR="006C73E1"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recebimento de mensagens no </w:t>
      </w:r>
      <w:r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tamanho máximo de 1,</w:t>
      </w:r>
      <w:r w:rsidR="00FD7DFC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0</w:t>
      </w:r>
      <w:r w:rsidRPr="006C73E1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Gigabytes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.</w:t>
      </w:r>
    </w:p>
    <w:p w:rsidR="000D52DC" w:rsidRDefault="003F1EFF" w:rsidP="0037790D">
      <w:pPr>
        <w:shd w:val="clear" w:color="auto" w:fill="FDFDFB"/>
        <w:spacing w:after="120" w:line="270" w:lineRule="atLeast"/>
        <w:ind w:firstLine="708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3.6</w:t>
      </w:r>
      <w:r w:rsidR="000D52DC"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. Aguarde a resposta da caixa corporativa com o retorno do TERPA com a parte do “Termo de Recebimento” preenchida</w:t>
      </w:r>
      <w:r w:rsidR="00317630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e assinada</w:t>
      </w:r>
      <w:r w:rsidR="000D52DC"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.</w:t>
      </w:r>
    </w:p>
    <w:p w:rsidR="000D52DC" w:rsidRPr="00D5676E" w:rsidRDefault="000D52DC" w:rsidP="00800F14">
      <w:pPr>
        <w:shd w:val="clear" w:color="auto" w:fill="FDFDFB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</w:p>
    <w:p w:rsidR="00800F14" w:rsidRDefault="00800F14" w:rsidP="00800F14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Observamos que o procedimento acima descrito dever ser adotado por todas as Administrações Tributárias que lavraram </w:t>
      </w:r>
      <w:proofErr w:type="spellStart"/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AINFs</w:t>
      </w:r>
      <w:proofErr w:type="spellEnd"/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, independentes de possuírem ou não convênio. </w:t>
      </w:r>
    </w:p>
    <w:p w:rsidR="003F1EFF" w:rsidRDefault="003F1EFF" w:rsidP="00800F14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Note-se ainda que os Estados, Distrito Federal e Municípios </w:t>
      </w:r>
      <w:r w:rsidR="00401E5B"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serão responsáveis por</w:t>
      </w:r>
      <w:r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acompanhar os processos derivados de lavratura de AINF e </w:t>
      </w:r>
      <w:r w:rsidR="00401E5B"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devem </w:t>
      </w:r>
      <w:r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encaminhá-los antes qu</w:t>
      </w:r>
      <w:r w:rsidR="00401E5B"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e ocorra a prescrição dos débitos</w:t>
      </w:r>
      <w:r w:rsidRPr="00CC3E0A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 xml:space="preserve"> </w:t>
      </w:r>
    </w:p>
    <w:p w:rsidR="00800F14" w:rsidRDefault="00800F14" w:rsidP="006B7EAC">
      <w:pPr>
        <w:shd w:val="clear" w:color="auto" w:fill="FDFDFB"/>
        <w:spacing w:after="12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</w:p>
    <w:p w:rsidR="005E7A92" w:rsidRPr="00D5676E" w:rsidRDefault="005E7A92" w:rsidP="007613B5">
      <w:pPr>
        <w:shd w:val="clear" w:color="auto" w:fill="FDFDFB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</w:p>
    <w:p w:rsidR="007613B5" w:rsidRPr="00D5676E" w:rsidRDefault="007613B5" w:rsidP="007613B5">
      <w:pPr>
        <w:shd w:val="clear" w:color="auto" w:fill="FDFDFB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</w:p>
    <w:p w:rsidR="00464428" w:rsidRDefault="007613B5" w:rsidP="00507885">
      <w:pPr>
        <w:shd w:val="clear" w:color="auto" w:fill="FDFDFB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pt-BR"/>
        </w:rPr>
      </w:pPr>
      <w:r w:rsidRPr="00D5676E">
        <w:rPr>
          <w:rFonts w:ascii="Arial" w:eastAsia="Times New Roman" w:hAnsi="Arial" w:cs="Arial"/>
          <w:color w:val="727272"/>
          <w:sz w:val="20"/>
          <w:szCs w:val="20"/>
          <w:lang w:eastAsia="pt-BR"/>
        </w:rPr>
        <w:t>SECRETARIA-EXECUTIVA DO COMITÊ GESTOR DO SIMPLES NACIONAL</w:t>
      </w:r>
    </w:p>
    <w:p w:rsidR="007613B5" w:rsidRDefault="00464428" w:rsidP="00507885">
      <w:pPr>
        <w:shd w:val="clear" w:color="auto" w:fill="FDFDFB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727272"/>
          <w:sz w:val="20"/>
          <w:szCs w:val="20"/>
          <w:lang w:eastAsia="pt-BR"/>
        </w:rPr>
        <w:t>ESCRITÓRIO DO SIMPLES NACIONAL EM SÃO PAULO – SRRF08</w:t>
      </w:r>
      <w:r w:rsidR="00507885" w:rsidRPr="00D5676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</w:p>
    <w:p w:rsidR="00B65050" w:rsidRPr="00D5676E" w:rsidRDefault="00B65050" w:rsidP="00507885">
      <w:pPr>
        <w:shd w:val="clear" w:color="auto" w:fill="FDFDFB"/>
        <w:spacing w:after="0" w:line="270" w:lineRule="atLeast"/>
        <w:jc w:val="both"/>
        <w:textAlignment w:val="baseline"/>
        <w:rPr>
          <w:rFonts w:ascii="Arial" w:eastAsia="Times New Roman" w:hAnsi="Arial" w:cs="Arial"/>
          <w:b/>
          <w:bCs/>
          <w:color w:val="54734A"/>
          <w:kern w:val="36"/>
          <w:sz w:val="20"/>
          <w:szCs w:val="20"/>
          <w:lang w:eastAsia="pt-BR"/>
        </w:rPr>
      </w:pPr>
    </w:p>
    <w:sectPr w:rsidR="00B65050" w:rsidRPr="00D5676E" w:rsidSect="00A4190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3B79"/>
    <w:multiLevelType w:val="hybridMultilevel"/>
    <w:tmpl w:val="6374C518"/>
    <w:lvl w:ilvl="0" w:tplc="843ED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B5"/>
    <w:rsid w:val="000056EB"/>
    <w:rsid w:val="00066C00"/>
    <w:rsid w:val="000D4596"/>
    <w:rsid w:val="000D52DC"/>
    <w:rsid w:val="000F224E"/>
    <w:rsid w:val="000F3EAC"/>
    <w:rsid w:val="00123561"/>
    <w:rsid w:val="00132685"/>
    <w:rsid w:val="0015595A"/>
    <w:rsid w:val="001D6B53"/>
    <w:rsid w:val="001F211A"/>
    <w:rsid w:val="00202ACE"/>
    <w:rsid w:val="002117E8"/>
    <w:rsid w:val="0021661D"/>
    <w:rsid w:val="0023720B"/>
    <w:rsid w:val="002533D3"/>
    <w:rsid w:val="002727AB"/>
    <w:rsid w:val="0030726F"/>
    <w:rsid w:val="00317630"/>
    <w:rsid w:val="003565A9"/>
    <w:rsid w:val="0037790D"/>
    <w:rsid w:val="00397E93"/>
    <w:rsid w:val="003A6341"/>
    <w:rsid w:val="003C769F"/>
    <w:rsid w:val="003D307D"/>
    <w:rsid w:val="003F1EFF"/>
    <w:rsid w:val="00401E5B"/>
    <w:rsid w:val="00417FF4"/>
    <w:rsid w:val="00422A4A"/>
    <w:rsid w:val="004628A7"/>
    <w:rsid w:val="00464428"/>
    <w:rsid w:val="00470B6C"/>
    <w:rsid w:val="0048349A"/>
    <w:rsid w:val="00497E7A"/>
    <w:rsid w:val="004C457A"/>
    <w:rsid w:val="004C4935"/>
    <w:rsid w:val="004E458C"/>
    <w:rsid w:val="00507885"/>
    <w:rsid w:val="0055709A"/>
    <w:rsid w:val="005B1062"/>
    <w:rsid w:val="005B7281"/>
    <w:rsid w:val="005C1D84"/>
    <w:rsid w:val="005E1FED"/>
    <w:rsid w:val="005E5F17"/>
    <w:rsid w:val="005E7A92"/>
    <w:rsid w:val="005F05B1"/>
    <w:rsid w:val="00620D8B"/>
    <w:rsid w:val="00650C39"/>
    <w:rsid w:val="0067238F"/>
    <w:rsid w:val="00684CED"/>
    <w:rsid w:val="006954FB"/>
    <w:rsid w:val="006A38F2"/>
    <w:rsid w:val="006B3E59"/>
    <w:rsid w:val="006B7EAC"/>
    <w:rsid w:val="006C73E1"/>
    <w:rsid w:val="00747E5A"/>
    <w:rsid w:val="007613B5"/>
    <w:rsid w:val="00772DBB"/>
    <w:rsid w:val="007846B1"/>
    <w:rsid w:val="0079739A"/>
    <w:rsid w:val="007A08B1"/>
    <w:rsid w:val="007E0E26"/>
    <w:rsid w:val="00800F14"/>
    <w:rsid w:val="00851474"/>
    <w:rsid w:val="008A3AA1"/>
    <w:rsid w:val="008E2037"/>
    <w:rsid w:val="008F6E3C"/>
    <w:rsid w:val="00995D1E"/>
    <w:rsid w:val="009A1A16"/>
    <w:rsid w:val="009B1BA3"/>
    <w:rsid w:val="009D2E8D"/>
    <w:rsid w:val="00A4190A"/>
    <w:rsid w:val="00AA2DCB"/>
    <w:rsid w:val="00AF66EA"/>
    <w:rsid w:val="00B25E04"/>
    <w:rsid w:val="00B46174"/>
    <w:rsid w:val="00B5267C"/>
    <w:rsid w:val="00B65050"/>
    <w:rsid w:val="00B70877"/>
    <w:rsid w:val="00BB4FFD"/>
    <w:rsid w:val="00BB6415"/>
    <w:rsid w:val="00BC3246"/>
    <w:rsid w:val="00BD053D"/>
    <w:rsid w:val="00BE1070"/>
    <w:rsid w:val="00C02D24"/>
    <w:rsid w:val="00C1115F"/>
    <w:rsid w:val="00C13B86"/>
    <w:rsid w:val="00C4542D"/>
    <w:rsid w:val="00C779F2"/>
    <w:rsid w:val="00CC3E0A"/>
    <w:rsid w:val="00CC56CA"/>
    <w:rsid w:val="00D041AA"/>
    <w:rsid w:val="00D10846"/>
    <w:rsid w:val="00D32668"/>
    <w:rsid w:val="00D5676E"/>
    <w:rsid w:val="00DA2EF9"/>
    <w:rsid w:val="00DC06FA"/>
    <w:rsid w:val="00E309E9"/>
    <w:rsid w:val="00E646C0"/>
    <w:rsid w:val="00E70046"/>
    <w:rsid w:val="00EE40E5"/>
    <w:rsid w:val="00F037A7"/>
    <w:rsid w:val="00F7637A"/>
    <w:rsid w:val="00FC2457"/>
    <w:rsid w:val="00FD7DFC"/>
    <w:rsid w:val="00FF2E5A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CB7D3-E434-4A3B-B96F-E35C439B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6EB"/>
  </w:style>
  <w:style w:type="paragraph" w:styleId="Ttulo1">
    <w:name w:val="heading 1"/>
    <w:basedOn w:val="Normal"/>
    <w:next w:val="Normal"/>
    <w:link w:val="Ttulo1Char"/>
    <w:uiPriority w:val="9"/>
    <w:qFormat/>
    <w:rsid w:val="00D56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56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3E59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56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567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3C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4FFD"/>
    <w:pPr>
      <w:ind w:left="720"/>
      <w:contextualSpacing/>
    </w:pPr>
  </w:style>
  <w:style w:type="paragraph" w:customStyle="1" w:styleId="Normal1">
    <w:name w:val="Normal1"/>
    <w:qFormat/>
    <w:rsid w:val="00772DB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0759">
          <w:marLeft w:val="300"/>
          <w:marRight w:val="3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inf.oc@rfb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nf.oc@rfb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9154-7032-4CE3-AB55-6C8AA488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Receita Federal do Brasil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Satie Kimura</dc:creator>
  <cp:keywords/>
  <dc:description/>
  <cp:lastModifiedBy>Juarez Andrade Morais</cp:lastModifiedBy>
  <cp:revision>2</cp:revision>
  <dcterms:created xsi:type="dcterms:W3CDTF">2019-06-17T14:01:00Z</dcterms:created>
  <dcterms:modified xsi:type="dcterms:W3CDTF">2019-06-17T14:01:00Z</dcterms:modified>
</cp:coreProperties>
</file>